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Bible Study: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Two: Word Alone</w:t>
      </w:r>
    </w:p>
    <w:p w:rsidR="00000000" w:rsidDel="00000000" w:rsidP="00000000" w:rsidRDefault="00000000" w:rsidRPr="00000000">
      <w:pPr>
        <w:pBdr/>
        <w:contextualSpacing w:val="0"/>
        <w:jc w:val="center"/>
        <w:rPr/>
      </w:pPr>
      <w:r w:rsidDel="00000000" w:rsidR="00000000" w:rsidRPr="00000000">
        <w:rPr>
          <w:rtl w:val="0"/>
        </w:rPr>
        <w:t xml:space="preserve">2 Timothy 3:16-17</w:t>
      </w:r>
    </w:p>
    <w:p w:rsidR="00000000" w:rsidDel="00000000" w:rsidP="00000000" w:rsidRDefault="00000000" w:rsidRPr="00000000">
      <w:pPr>
        <w:pBdr/>
        <w:ind w:left="1080" w:right="1440" w:firstLine="360"/>
        <w:contextualSpacing w:val="0"/>
        <w:rPr/>
      </w:pPr>
      <w:r w:rsidDel="00000000" w:rsidR="00000000" w:rsidRPr="00000000">
        <w:rPr>
          <w:i w:val="1"/>
          <w:rtl w:val="0"/>
        </w:rPr>
        <w:t xml:space="preserve">16 All Scripture is inspired by God and is useful to teach us what is true and to make us realize what is wrong in our lives. It corrects us when we are wrong and teaches us to do what is right. 17 God uses it to prepare and equip his people to do every good work.</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Background of the Second Epistle of Paul to Timothy</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Traditionally written by Paul to..Timothy! </w:t>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Majority of people think it was NOT written by Paul The reason for this is differences in language and content.</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Background of the Epistle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Setting of This Verse Within the Epistle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Read </w:t>
      </w:r>
      <w:r w:rsidDel="00000000" w:rsidR="00000000" w:rsidRPr="00000000">
        <w:rPr>
          <w:rtl w:val="0"/>
        </w:rPr>
        <w:t xml:space="preserve">2 Timothy 3:10-17, Study of verses 16-17</w:t>
      </w: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Luther’s Comments: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Luther’s doctrine of </w:t>
      </w:r>
      <w:r w:rsidDel="00000000" w:rsidR="00000000" w:rsidRPr="00000000">
        <w:rPr>
          <w:u w:val="single"/>
          <w:rtl w:val="0"/>
        </w:rPr>
        <w:t xml:space="preserve">Sola scriptura:</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Summary </w:t>
      </w:r>
    </w:p>
    <w:p w:rsidR="00000000" w:rsidDel="00000000" w:rsidP="00000000" w:rsidRDefault="00000000" w:rsidRPr="00000000">
      <w:pPr>
        <w:pBdr/>
        <w:ind w:left="0" w:firstLine="0"/>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